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:rsidR="00891D13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p w:rsidR="001B3396" w:rsidRPr="0084727B" w:rsidRDefault="001B3396" w:rsidP="00891D13">
      <w:pPr>
        <w:spacing w:after="0"/>
        <w:rPr>
          <w:rFonts w:cstheme="minorHAnsi"/>
        </w:rPr>
      </w:pP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1B3396" w:rsidRPr="000C67C6" w:rsidTr="00330580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96" w:rsidRDefault="001B3396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3396" w:rsidRDefault="001B3396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Semestr I</w:t>
            </w:r>
          </w:p>
          <w:p w:rsidR="001B3396" w:rsidRPr="000C67C6" w:rsidRDefault="001B3396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podaje przykłady szczególnego bohaterstwa Polaków, np. obrona poczty w Gdańsku, walki o Westerplatte, obrona wieży spadochronowej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Wielką Brytanię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internowania władz polskich w Rumunii (17/18 IX 1939), 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lastRenderedPageBreak/>
              <w:t>Mołotow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wskazuje na mapie obszary zagarnięte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przez ZSRS i III Rzeszę do 1941 r.</w:t>
            </w:r>
          </w:p>
          <w:p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znaczenie terminów: linia Maginota, kolaboracja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VI 1940), bitwy o Anglię (VII–X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1940)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wymienia państwa, które padły ofiarą agresji sowieckiej oraz niemieckiej do 1941 r.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Philippe’aPétaina</w:t>
            </w:r>
            <w:proofErr w:type="spellEnd"/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wyjaśnia znaczenie terminów: wojna zimowa, państwo marionetkowe, państwo Vichy,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Komitet Wolnej Francji</w:t>
            </w:r>
          </w:p>
          <w:p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przedstawia cele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Niemieckie obozy koncentracyjne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lastRenderedPageBreak/>
              <w:t>Sendlerowej</w:t>
            </w:r>
            <w:proofErr w:type="spellEnd"/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„Żegota”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postacie: Heinricha Himmlera, Josipa Broza-Tity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U-Boot,konwój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pod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Midway</w:t>
            </w:r>
            <w:r w:rsidR="00F82993">
              <w:rPr>
                <w:rFonts w:cstheme="minorHAnsi"/>
                <w:sz w:val="20"/>
                <w:szCs w:val="20"/>
              </w:rPr>
              <w:t>,oraz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X–XI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Dwighta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Eisenhowera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strony stosowały podczas zmagań na morzach i oceanach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Normandii(VI 1944), konferencji jałtańskiej (II 1945), bezwarunkowej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Pr="00CD4C4E">
              <w:rPr>
                <w:rFonts w:cstheme="minorHAnsi"/>
                <w:sz w:val="20"/>
                <w:szCs w:val="20"/>
              </w:rPr>
              <w:t>I1945),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MacArthura, Bernarda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Montgomery’ego</w:t>
            </w:r>
            <w:proofErr w:type="spellEnd"/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Deportacje w głąb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ZSRS</w:t>
            </w:r>
          </w:p>
          <w:p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lastRenderedPageBreak/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niemiecką oraz zsyłek i kaźni ludności polskiej w ZSRS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Specjalna „Kraków”, „granatowa” policja, Pawiak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społeczeństwa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polskiego</w:t>
            </w:r>
          </w:p>
        </w:tc>
      </w:tr>
      <w:tr w:rsidR="00046B91" w:rsidRPr="00ED3C29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 xml:space="preserve">: rząd emigracyjny, układ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zna daty: powstania rządu emigracyjnego (IX 1939),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omawia postanowienia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</w:p>
          <w:p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Sosnkowskiego,Stanisława Maczka, Stanisława Sosabowskiego, Zygmunta Berlinga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 xml:space="preserve">powstania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Polskie Państwo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Rządu RP na Kraj,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sabotaż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 znaczenie terminów: sabotaż,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dywersja</w:t>
            </w:r>
          </w:p>
          <w:p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Arsenałem, zamach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na F. Kutscherę,Kedyw</w:t>
            </w:r>
          </w:p>
          <w:p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zamachu na F.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 Arsenałem („Meksyk II”), akcja „Główki”</w:t>
            </w:r>
          </w:p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omawia przebieg akcji pod Arsenałem oraz zamachu 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terminów:szmalcownik, Ukraińska Powstańcza Armia (UPA), czystki etniczne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opisuje postawy Polaków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Holokaustu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6. Sprawa polska pod koniec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PolskaLubelska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Represje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Polskiego Państwa Podziemnego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1945), procesu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szesnastu (VI 1945), powstania TRJN (VI 1945)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(„NIE”)</w:t>
            </w:r>
          </w:p>
          <w:p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1B339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3396" w:rsidRDefault="001B3396" w:rsidP="00046B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B3396" w:rsidRDefault="001B3396" w:rsidP="00046B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Semestr II</w:t>
            </w:r>
          </w:p>
          <w:p w:rsidR="001B3396" w:rsidRPr="00980127" w:rsidRDefault="001B3396" w:rsidP="00046B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kurtyna,blokada Berlina Zachodniego, NATO, reparacje wojenne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Marshalla, doktryna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Trumana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budowy muru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berlińskiego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(1947), blokady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Berlina Zachodniego (1948-1949)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w powojennym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świecie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Kennedy’ego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  <w:p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przedstawia przebieg powstania węgierskiego </w:t>
            </w:r>
            <w:r w:rsidRPr="00D97AA9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  <w:p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kulturalnej Mao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Zedonga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omawia konflikt w rejonie Zatoki Perskiej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znaczenierozpowszechnienia nowych środków transportu</w:t>
            </w:r>
          </w:p>
          <w:p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  <w:p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okoliczności interwencji sił Układu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Gasperiego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Rewolucja obyczajowa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Bunty studenckie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rewolucja obyczajowa, ruch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 xml:space="preserve">atykańskiego II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(1962–1965)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Francji (1968)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przedstawia cele buntów studenckich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przykłady zespołów rockowych, które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laicyzacja, Greenpeace, Woodstock, terroryzm polityczny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wskazuje na mapie granice Polski po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opisuje metody, dzięki którym komuniści zdobyli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przytacza metody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terroru stosowane przez komunistów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ocenia politykę władz komunistycznych wobec Ziem Odzyskanych</w:t>
            </w:r>
          </w:p>
        </w:tc>
      </w:tr>
      <w:tr w:rsidR="00A61FCE" w:rsidRPr="00A61FC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2. Polska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Powstanie PZPR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terminów: plan sześcioletni, kolektywizacja, stalinizm, socrealizm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sześcioletniego (1950–1955)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okoliczności powstania PZPR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 xml:space="preserve">– ocenia kult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Służba Bezpieczeństwa (SB), odwilż październikowa, mała stabilizacja, obchody Tysiąclecia Chrztu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Polski</w:t>
            </w:r>
          </w:p>
          <w:p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przyczyny i skutki oraz opisuje przebieg wydarzeń poznańskiego Czerwca i polskiego Października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 xml:space="preserve">ęwystosowania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niemieckiego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(1965)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przyczyny i skutki wydarzeń z Marca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ocenia zachowanie władz PRL w obliczu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wydarzeń na Wybrzeżu w 1970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Reakcja społeczeństwa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wyjaśnia znaczenie terminów: stan wojenny, Wojskowa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Rada Ocalenia Narodowego (WRON), internowanie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wprowadzenia stanu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 xml:space="preserve">– charakteryzuje przebieg stanu wojennego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 xml:space="preserve">– zna daty: pacyfikacji kopalni „Wujek” (XII 1981),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zamordowania ks. J. Popiełuszki (1984)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 xml:space="preserve">– ocenia postawy społeczeństwa wobec stanu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wojennego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 xml:space="preserve">czowa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Alternatywa</w:t>
            </w:r>
          </w:p>
          <w:p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Początki Pomarańczowej Alternatywy</w:t>
            </w:r>
          </w:p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Pomarańczowa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terminu Pomarańczowa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(1987–1988), końca działalności Pomarańczowej Alternatywy (1990)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wyjaśnia, jakie idee przyświecały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Alternatywie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identyfikuje postać Krzysztofa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Skiby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ocenia wpływ Pomarańczowej Alternatywy na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kształtowanie postaw antykomunistycznych i obalenie komunizmu</w:t>
            </w:r>
          </w:p>
        </w:tc>
      </w:tr>
      <w:tr w:rsidR="00CB1C84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Ronalda Reagana, Michaiła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zna daty: obalenia komunizmu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CB1C84" w:rsidRPr="00CB1C84" w:rsidRDefault="006E643A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="00CB1C84" w:rsidRPr="00CB1C84">
              <w:rPr>
                <w:rFonts w:cstheme="minorHAnsi"/>
                <w:sz w:val="20"/>
                <w:szCs w:val="20"/>
              </w:rPr>
              <w:t xml:space="preserve">identyfikuje postacie: Borysa Jelcyna, </w:t>
            </w:r>
            <w:proofErr w:type="spellStart"/>
            <w:r w:rsidR="00CB1C84" w:rsidRPr="00CB1C84">
              <w:rPr>
                <w:rFonts w:cstheme="minorHAnsi"/>
                <w:sz w:val="20"/>
                <w:szCs w:val="20"/>
              </w:rPr>
              <w:t>Giennadija</w:t>
            </w:r>
            <w:proofErr w:type="spellEnd"/>
            <w:r w:rsidR="00CB1C84" w:rsidRPr="00CB1C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B1C84" w:rsidRPr="00CB1C84">
              <w:rPr>
                <w:rFonts w:cstheme="minorHAnsi"/>
                <w:sz w:val="20"/>
                <w:szCs w:val="20"/>
              </w:rPr>
              <w:lastRenderedPageBreak/>
              <w:t>Janajewa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zmianie układu sił w polityce międzynarodowej – przedstawia rolę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ocenia znaczenie obrad Okrągłego Stołu dla przemian politycznych w Polsce</w:t>
            </w:r>
          </w:p>
        </w:tc>
      </w:tr>
      <w:tr w:rsidR="00CB1C8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Pierwsze zamachy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Atak na szkołę </w:t>
            </w:r>
          </w:p>
          <w:p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terminu terroryzm</w:t>
            </w:r>
          </w:p>
          <w:p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opisuje działania władz rosyjskich skierowane przeciwko terrorystom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– ocenia postawy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 iwładz rosyjskich wobec problemu czeczeńskiego</w:t>
            </w:r>
          </w:p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Balcerowicza,pluralizm polityczny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wymienia najistotniejsze przemiany ustrojowe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proces budowania podstaw prawnych III Rzeczypospolitej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omawia etapy polskiej akcesji do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773" w:rsidRDefault="00132773" w:rsidP="00254330">
      <w:pPr>
        <w:spacing w:after="0" w:line="240" w:lineRule="auto"/>
      </w:pPr>
      <w:r>
        <w:separator/>
      </w:r>
    </w:p>
  </w:endnote>
  <w:endnote w:type="continuationSeparator" w:id="1">
    <w:p w:rsidR="00132773" w:rsidRDefault="0013277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133501"/>
      <w:docPartObj>
        <w:docPartGallery w:val="Page Numbers (Bottom of Page)"/>
        <w:docPartUnique/>
      </w:docPartObj>
    </w:sdtPr>
    <w:sdtContent>
      <w:p w:rsidR="00132773" w:rsidRDefault="00ED4BEC">
        <w:pPr>
          <w:pStyle w:val="Stopka"/>
          <w:jc w:val="center"/>
        </w:pPr>
        <w:r>
          <w:fldChar w:fldCharType="begin"/>
        </w:r>
        <w:r w:rsidR="00132773">
          <w:instrText>PAGE   \* MERGEFORMAT</w:instrText>
        </w:r>
        <w:r>
          <w:fldChar w:fldCharType="separate"/>
        </w:r>
        <w:r w:rsidR="001B3396">
          <w:rPr>
            <w:noProof/>
          </w:rPr>
          <w:t>37</w:t>
        </w:r>
        <w:r>
          <w:fldChar w:fldCharType="end"/>
        </w:r>
      </w:p>
    </w:sdtContent>
  </w:sdt>
  <w:p w:rsidR="00132773" w:rsidRDefault="001327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773" w:rsidRDefault="00132773" w:rsidP="00254330">
      <w:pPr>
        <w:spacing w:after="0" w:line="240" w:lineRule="auto"/>
      </w:pPr>
      <w:r>
        <w:separator/>
      </w:r>
    </w:p>
  </w:footnote>
  <w:footnote w:type="continuationSeparator" w:id="1">
    <w:p w:rsidR="00132773" w:rsidRDefault="00132773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3396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4BEC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6917</Words>
  <Characters>41502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Bibliotekarz</cp:lastModifiedBy>
  <cp:revision>7</cp:revision>
  <dcterms:created xsi:type="dcterms:W3CDTF">2024-07-25T12:22:00Z</dcterms:created>
  <dcterms:modified xsi:type="dcterms:W3CDTF">2024-09-23T08:46:00Z</dcterms:modified>
</cp:coreProperties>
</file>